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3</w:t>
                </w:r>
              </w:sdtContent>
            </w:sdt>
          </w:p>
        </w:tc>
      </w:tr>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דיאנה פסו-ואגו</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D764E5" w:rsidRDefault="006B51FD" w:rsidP="006B51FD">
                <w:pPr>
                  <w:suppressLineNumbers/>
                  <w:rPr>
                    <w:rFonts w:ascii="Arial" w:hAnsi="Arial"/>
                    <w:b/>
                    <w:bCs/>
                    <w:noProof w:val="0"/>
                    <w:sz w:val="26"/>
                    <w:szCs w:val="26"/>
                    <w:rtl/>
                  </w:rPr>
                </w:pPr>
                <w:r>
                  <w:rPr>
                    <w:rFonts w:ascii="Arial" w:hAnsi="Arial" w:hint="cs"/>
                    <w:b/>
                    <w:bCs/>
                    <w:noProof w:val="0"/>
                    <w:sz w:val="26"/>
                    <w:szCs w:val="26"/>
                    <w:rtl/>
                  </w:rPr>
                  <w:t>תובע:</w:t>
                </w:r>
              </w:p>
            </w:sdtContent>
          </w:sdt>
        </w:tc>
        <w:tc>
          <w:tcPr>
            <w:tcW w:w="5571" w:type="dxa"/>
            <w:gridSpan w:val="2"/>
          </w:tcPr>
          <w:p w:rsidR="0094424E" w:rsidRDefault="0094424E" w:rsidP="00D44968">
            <w:pPr>
              <w:suppressLineNumbers/>
              <w:rPr>
                <w:rFonts w:ascii="Arial" w:hAnsi="Arial"/>
                <w:b/>
                <w:bCs/>
                <w:noProof w:val="0"/>
                <w:sz w:val="26"/>
                <w:szCs w:val="26"/>
                <w:rtl/>
              </w:rPr>
            </w:pPr>
          </w:p>
          <w:p w:rsidR="0094424E" w:rsidRDefault="00683DF2" w:rsidP="00D0353B">
            <w:pPr>
              <w:suppressLineNumbers/>
              <w:rPr>
                <w:b/>
                <w:bCs/>
                <w:noProof w:val="0"/>
                <w:sz w:val="26"/>
                <w:szCs w:val="26"/>
              </w:rPr>
            </w:pPr>
            <w:sdt>
              <w:sdtPr>
                <w:rPr>
                  <w:rFonts w:ascii="Arial" w:hAnsi="Arial"/>
                  <w:b/>
                  <w:bCs/>
                  <w:noProof w:val="0"/>
                  <w:sz w:val="26"/>
                  <w:szCs w:val="26"/>
                  <w:rtl/>
                </w:rPr>
                <w:alias w:val="1478"/>
                <w:tag w:val="1478"/>
                <w:id w:val="-2076122985"/>
                <w:text w:multiLine="1"/>
              </w:sdtPr>
              <w:sdtEndPr/>
              <w:sdtContent>
                <w:r w:rsidR="00064651">
                  <w:rPr>
                    <w:rFonts w:ascii="Arial" w:hAnsi="Arial"/>
                    <w:b/>
                    <w:bCs/>
                    <w:noProof w:val="0"/>
                    <w:sz w:val="26"/>
                    <w:szCs w:val="26"/>
                    <w:rtl/>
                  </w:rPr>
                  <w:t>מ</w:t>
                </w:r>
                <w:r w:rsidR="00D0353B">
                  <w:rPr>
                    <w:rFonts w:ascii="Arial" w:hAnsi="Arial" w:hint="cs"/>
                    <w:b/>
                    <w:bCs/>
                    <w:noProof w:val="0"/>
                    <w:sz w:val="26"/>
                    <w:szCs w:val="26"/>
                    <w:rtl/>
                  </w:rPr>
                  <w:t xml:space="preserve">.מ. </w:t>
                </w:r>
              </w:sdtContent>
            </w:sdt>
            <w:r w:rsidR="00E54CD9" w:rsidRPr="00E54CD9">
              <w:rPr>
                <w:rFonts w:ascii="Arial" w:hAnsi="Arial" w:hint="cs"/>
                <w:b/>
                <w:bCs/>
                <w:noProof w:val="0"/>
                <w:sz w:val="26"/>
                <w:szCs w:val="26"/>
                <w:rtl/>
              </w:rPr>
              <w:t xml:space="preserve">  </w:t>
            </w:r>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683DF2" w:rsidP="006B51FD">
            <w:pPr>
              <w:suppressLineNumbers/>
              <w:rPr>
                <w:rFonts w:ascii="Arial" w:hAnsi="Arial"/>
                <w:b/>
                <w:bCs/>
                <w:noProof w:val="0"/>
                <w:sz w:val="26"/>
                <w:szCs w:val="26"/>
              </w:rPr>
            </w:pPr>
            <w:sdt>
              <w:sdtPr>
                <w:rPr>
                  <w:rtl/>
                </w:rPr>
                <w:alias w:val="1184"/>
                <w:tag w:val="1184"/>
                <w:id w:val="-340621022"/>
                <w:text w:multiLine="1"/>
              </w:sdtPr>
              <w:sdtEndPr/>
              <w:sdtContent>
                <w:r w:rsidR="006B51FD">
                  <w:rPr>
                    <w:rFonts w:ascii="Arial" w:hAnsi="Arial" w:hint="cs"/>
                    <w:b/>
                    <w:bCs/>
                    <w:noProof w:val="0"/>
                    <w:sz w:val="26"/>
                    <w:szCs w:val="26"/>
                    <w:rtl/>
                  </w:rPr>
                  <w:t>נתבעת:</w:t>
                </w:r>
              </w:sdtContent>
            </w:sdt>
          </w:p>
        </w:tc>
        <w:tc>
          <w:tcPr>
            <w:tcW w:w="5571" w:type="dxa"/>
            <w:gridSpan w:val="2"/>
          </w:tcPr>
          <w:p w:rsidR="00CF6BB7" w:rsidRDefault="00683DF2" w:rsidP="00D0353B">
            <w:pPr>
              <w:suppressLineNumbers/>
              <w:rPr>
                <w:b/>
                <w:bCs/>
                <w:noProof w:val="0"/>
                <w:sz w:val="26"/>
                <w:szCs w:val="26"/>
                <w:rtl/>
              </w:rPr>
            </w:pPr>
            <w:sdt>
              <w:sdtPr>
                <w:rPr>
                  <w:rtl/>
                </w:rPr>
                <w:alias w:val="1486"/>
                <w:tag w:val="1486"/>
                <w:id w:val="-309872140"/>
                <w:text w:multiLine="1"/>
              </w:sdtPr>
              <w:sdtEndPr/>
              <w:sdtContent>
                <w:r w:rsidR="00064651">
                  <w:rPr>
                    <w:rFonts w:ascii="Arial" w:hAnsi="Arial"/>
                    <w:b/>
                    <w:bCs/>
                    <w:noProof w:val="0"/>
                    <w:sz w:val="26"/>
                    <w:szCs w:val="26"/>
                    <w:rtl/>
                  </w:rPr>
                  <w:t>ל</w:t>
                </w:r>
                <w:r w:rsidR="00D0353B">
                  <w:rPr>
                    <w:rFonts w:ascii="Arial" w:hAnsi="Arial" w:hint="cs"/>
                    <w:b/>
                    <w:bCs/>
                    <w:noProof w:val="0"/>
                    <w:sz w:val="26"/>
                    <w:szCs w:val="26"/>
                    <w:rtl/>
                  </w:rPr>
                  <w:t xml:space="preserve">.ב. </w:t>
                </w:r>
              </w:sdtContent>
            </w:sdt>
            <w:r w:rsidR="00E54CD9">
              <w:rPr>
                <w:rFonts w:hint="cs"/>
                <w:rtl/>
              </w:rPr>
              <w:t xml:space="preserve"> </w:t>
            </w:r>
            <w:r w:rsidR="00E54CD9" w:rsidRPr="00E54CD9">
              <w:rPr>
                <w:rFonts w:ascii="Arial" w:hAnsi="Arial" w:hint="cs"/>
                <w:b/>
                <w:bCs/>
                <w:noProof w:val="0"/>
                <w:sz w:val="26"/>
                <w:szCs w:val="26"/>
                <w:rtl/>
              </w:rPr>
              <w:t xml:space="preserve"> </w:t>
            </w:r>
          </w:p>
        </w:tc>
      </w:tr>
      <w:tr w:rsidR="00694556" w:rsidRPr="006B51FD">
        <w:trPr>
          <w:jc w:val="center"/>
        </w:trPr>
        <w:tc>
          <w:tcPr>
            <w:tcW w:w="8820" w:type="dxa"/>
            <w:gridSpan w:val="4"/>
          </w:tcPr>
          <w:p w:rsidR="006B51FD" w:rsidRPr="006B51FD" w:rsidRDefault="006B51FD">
            <w:pPr>
              <w:bidi w:val="0"/>
              <w:jc w:val="center"/>
              <w:rPr>
                <w:rFonts w:ascii="David" w:hAnsi="David"/>
                <w:b/>
                <w:bCs/>
                <w:noProof w:val="0"/>
                <w:u w:val="single"/>
                <w:rtl/>
              </w:rPr>
            </w:pPr>
          </w:p>
          <w:p w:rsidR="006B51FD" w:rsidRPr="006B51FD" w:rsidRDefault="006B51FD" w:rsidP="006B51FD">
            <w:pPr>
              <w:bidi w:val="0"/>
              <w:jc w:val="center"/>
              <w:rPr>
                <w:rFonts w:ascii="David" w:hAnsi="David"/>
                <w:b/>
                <w:bCs/>
                <w:noProof w:val="0"/>
                <w:u w:val="single"/>
                <w:rtl/>
              </w:rPr>
            </w:pPr>
          </w:p>
          <w:p w:rsidR="00694556" w:rsidRPr="006B51FD" w:rsidRDefault="00180519" w:rsidP="006B51FD">
            <w:pPr>
              <w:bidi w:val="0"/>
              <w:jc w:val="center"/>
              <w:rPr>
                <w:rFonts w:ascii="David" w:hAnsi="David"/>
                <w:b/>
                <w:bCs/>
                <w:noProof w:val="0"/>
                <w:sz w:val="28"/>
                <w:szCs w:val="28"/>
                <w:u w:val="single"/>
              </w:rPr>
            </w:pPr>
            <w:r w:rsidRPr="006B51FD">
              <w:rPr>
                <w:rFonts w:ascii="David" w:hAnsi="David"/>
                <w:b/>
                <w:bCs/>
                <w:noProof w:val="0"/>
                <w:sz w:val="28"/>
                <w:szCs w:val="28"/>
                <w:u w:val="single"/>
                <w:rtl/>
              </w:rPr>
              <w:t>החלטה</w:t>
            </w:r>
          </w:p>
          <w:p w:rsidR="00D44968" w:rsidRDefault="00D44968" w:rsidP="00D44968">
            <w:pPr>
              <w:bidi w:val="0"/>
              <w:jc w:val="center"/>
              <w:rPr>
                <w:rFonts w:ascii="David" w:hAnsi="David"/>
                <w:b/>
                <w:bCs/>
                <w:noProof w:val="0"/>
                <w:u w:val="single"/>
              </w:rPr>
            </w:pPr>
          </w:p>
          <w:p w:rsidR="000726DE" w:rsidRPr="006B51FD" w:rsidRDefault="000726DE" w:rsidP="000726DE">
            <w:pPr>
              <w:bidi w:val="0"/>
              <w:jc w:val="center"/>
              <w:rPr>
                <w:rFonts w:ascii="David" w:hAnsi="David"/>
                <w:b/>
                <w:bCs/>
                <w:noProof w:val="0"/>
                <w:u w:val="single"/>
              </w:rPr>
            </w:pPr>
          </w:p>
        </w:tc>
      </w:tr>
    </w:tbl>
    <w:p w:rsidR="006B51FD" w:rsidRPr="006B51FD" w:rsidRDefault="006B51FD" w:rsidP="00D0353B">
      <w:pPr>
        <w:pStyle w:val="ad"/>
        <w:numPr>
          <w:ilvl w:val="0"/>
          <w:numId w:val="1"/>
        </w:numPr>
        <w:tabs>
          <w:tab w:val="left" w:pos="1026"/>
        </w:tabs>
        <w:spacing w:line="360" w:lineRule="auto"/>
        <w:jc w:val="both"/>
        <w:rPr>
          <w:rFonts w:ascii="David" w:hAnsi="David" w:cs="David"/>
          <w:sz w:val="24"/>
          <w:szCs w:val="24"/>
        </w:rPr>
      </w:pPr>
      <w:bookmarkStart w:id="1" w:name="NGCSBookmark"/>
      <w:bookmarkEnd w:id="1"/>
      <w:r w:rsidRPr="006B51FD">
        <w:rPr>
          <w:rFonts w:ascii="David" w:hAnsi="David" w:cs="David"/>
          <w:sz w:val="24"/>
          <w:szCs w:val="24"/>
          <w:rtl/>
        </w:rPr>
        <w:t xml:space="preserve">עסקינן, בתביעה להחזקת קטינים, אחריות הורית וזמני שהות, אותה הגיש התובע, ביום 06.11.24, בהתאם למקום מגוריהם האחרון של הצדדים, </w:t>
      </w:r>
      <w:r w:rsidR="00D0353B">
        <w:rPr>
          <w:rFonts w:ascii="David" w:hAnsi="David" w:cs="David" w:hint="cs"/>
          <w:sz w:val="24"/>
          <w:szCs w:val="24"/>
        </w:rPr>
        <w:t xml:space="preserve">XX </w:t>
      </w:r>
      <w:r w:rsidRPr="006B51FD">
        <w:rPr>
          <w:rFonts w:ascii="David" w:hAnsi="David" w:cs="David"/>
          <w:sz w:val="24"/>
          <w:szCs w:val="24"/>
          <w:rtl/>
        </w:rPr>
        <w:t>ובה עותר לקבוע</w:t>
      </w:r>
      <w:r w:rsidR="000726DE">
        <w:rPr>
          <w:rFonts w:ascii="David" w:hAnsi="David" w:cs="David" w:hint="cs"/>
          <w:sz w:val="24"/>
          <w:szCs w:val="24"/>
          <w:rtl/>
        </w:rPr>
        <w:t>,</w:t>
      </w:r>
      <w:r w:rsidRPr="006B51FD">
        <w:rPr>
          <w:rFonts w:ascii="David" w:hAnsi="David" w:cs="David"/>
          <w:sz w:val="24"/>
          <w:szCs w:val="24"/>
          <w:rtl/>
        </w:rPr>
        <w:t xml:space="preserve"> כי ילדיהם המשותפים של הצדדים, קטינים בני כשבע וכחמש, יועברו ל</w:t>
      </w:r>
      <w:r w:rsidR="000726DE">
        <w:rPr>
          <w:rFonts w:ascii="David" w:hAnsi="David" w:cs="David" w:hint="cs"/>
          <w:sz w:val="24"/>
          <w:szCs w:val="24"/>
          <w:rtl/>
        </w:rPr>
        <w:t>ה</w:t>
      </w:r>
      <w:r w:rsidRPr="006B51FD">
        <w:rPr>
          <w:rFonts w:ascii="David" w:hAnsi="David" w:cs="David"/>
          <w:sz w:val="24"/>
          <w:szCs w:val="24"/>
          <w:rtl/>
        </w:rPr>
        <w:t>חזקתו, וביתם הקבוע יקבע בביתו ו</w:t>
      </w:r>
      <w:r w:rsidR="000726DE">
        <w:rPr>
          <w:rFonts w:ascii="David" w:hAnsi="David" w:cs="David" w:hint="cs"/>
          <w:sz w:val="24"/>
          <w:szCs w:val="24"/>
          <w:rtl/>
        </w:rPr>
        <w:t xml:space="preserve">בהתאמה </w:t>
      </w:r>
      <w:r w:rsidRPr="006B51FD">
        <w:rPr>
          <w:rFonts w:ascii="David" w:hAnsi="David" w:cs="David"/>
          <w:sz w:val="24"/>
          <w:szCs w:val="24"/>
          <w:rtl/>
        </w:rPr>
        <w:t>יקבעו זמני שהות</w:t>
      </w:r>
      <w:r w:rsidR="000726DE">
        <w:rPr>
          <w:rFonts w:ascii="David" w:hAnsi="David" w:cs="David" w:hint="cs"/>
          <w:sz w:val="24"/>
          <w:szCs w:val="24"/>
          <w:rtl/>
        </w:rPr>
        <w:t>,</w:t>
      </w:r>
      <w:r w:rsidRPr="006B51FD">
        <w:rPr>
          <w:rFonts w:ascii="David" w:hAnsi="David" w:cs="David"/>
          <w:sz w:val="24"/>
          <w:szCs w:val="24"/>
          <w:rtl/>
        </w:rPr>
        <w:t xml:space="preserve"> בין הקטינים לנתבעת, האם.</w:t>
      </w:r>
    </w:p>
    <w:p w:rsidR="006B51FD" w:rsidRPr="006B51FD" w:rsidRDefault="006B51FD" w:rsidP="006B51FD">
      <w:pPr>
        <w:pStyle w:val="ad"/>
        <w:tabs>
          <w:tab w:val="left" w:pos="1026"/>
        </w:tabs>
        <w:spacing w:line="360" w:lineRule="auto"/>
        <w:jc w:val="both"/>
        <w:rPr>
          <w:rFonts w:ascii="David" w:hAnsi="David" w:cs="David"/>
          <w:sz w:val="24"/>
          <w:szCs w:val="24"/>
        </w:rPr>
      </w:pPr>
    </w:p>
    <w:p w:rsidR="006B51FD" w:rsidRDefault="006B51FD" w:rsidP="000726DE">
      <w:pPr>
        <w:pStyle w:val="ad"/>
        <w:numPr>
          <w:ilvl w:val="0"/>
          <w:numId w:val="1"/>
        </w:numPr>
        <w:tabs>
          <w:tab w:val="left" w:pos="1026"/>
        </w:tabs>
        <w:spacing w:line="360" w:lineRule="auto"/>
        <w:jc w:val="both"/>
        <w:rPr>
          <w:rFonts w:ascii="David" w:hAnsi="David" w:cs="David"/>
          <w:sz w:val="24"/>
          <w:szCs w:val="24"/>
        </w:rPr>
      </w:pPr>
      <w:r w:rsidRPr="006B51FD">
        <w:rPr>
          <w:rFonts w:ascii="David" w:hAnsi="David" w:cs="David"/>
          <w:sz w:val="24"/>
          <w:szCs w:val="24"/>
          <w:rtl/>
        </w:rPr>
        <w:t>תובענה קשורה, הוגשה על ידי הנתבעת, "לשינוי מען מגו</w:t>
      </w:r>
      <w:r w:rsidR="000726DE">
        <w:rPr>
          <w:rFonts w:ascii="David" w:hAnsi="David" w:cs="David"/>
          <w:sz w:val="24"/>
          <w:szCs w:val="24"/>
          <w:rtl/>
        </w:rPr>
        <w:t xml:space="preserve">רי קטינים", </w:t>
      </w:r>
      <w:r w:rsidR="000726DE">
        <w:rPr>
          <w:rFonts w:ascii="David" w:hAnsi="David" w:cs="David" w:hint="cs"/>
          <w:sz w:val="24"/>
          <w:szCs w:val="24"/>
          <w:rtl/>
        </w:rPr>
        <w:t xml:space="preserve">וזו </w:t>
      </w:r>
      <w:r w:rsidR="000726DE">
        <w:rPr>
          <w:rFonts w:ascii="David" w:hAnsi="David" w:cs="David"/>
          <w:sz w:val="24"/>
          <w:szCs w:val="24"/>
          <w:rtl/>
        </w:rPr>
        <w:t>נקבע</w:t>
      </w:r>
      <w:r w:rsidR="000726DE">
        <w:rPr>
          <w:rFonts w:ascii="David" w:hAnsi="David" w:cs="David" w:hint="cs"/>
          <w:sz w:val="24"/>
          <w:szCs w:val="24"/>
          <w:rtl/>
        </w:rPr>
        <w:t>ה</w:t>
      </w:r>
      <w:r w:rsidR="000726DE">
        <w:rPr>
          <w:rFonts w:ascii="David" w:hAnsi="David" w:cs="David"/>
          <w:sz w:val="24"/>
          <w:szCs w:val="24"/>
          <w:rtl/>
        </w:rPr>
        <w:t xml:space="preserve"> ליום 25.11.24</w:t>
      </w:r>
      <w:r w:rsidR="000726DE">
        <w:rPr>
          <w:rFonts w:ascii="David" w:hAnsi="David" w:cs="David" w:hint="cs"/>
          <w:sz w:val="24"/>
          <w:szCs w:val="24"/>
          <w:rtl/>
        </w:rPr>
        <w:t xml:space="preserve">. </w:t>
      </w:r>
      <w:r w:rsidR="000726DE">
        <w:rPr>
          <w:rFonts w:ascii="David" w:hAnsi="David" w:cs="David"/>
          <w:sz w:val="24"/>
          <w:szCs w:val="24"/>
          <w:rtl/>
        </w:rPr>
        <w:t>נוכח סד הזמנים</w:t>
      </w:r>
      <w:r w:rsidR="000726DE">
        <w:rPr>
          <w:rFonts w:ascii="David" w:hAnsi="David" w:cs="David" w:hint="cs"/>
          <w:sz w:val="24"/>
          <w:szCs w:val="24"/>
          <w:rtl/>
        </w:rPr>
        <w:t xml:space="preserve"> ולשם ייעול ההליכים, נקבע, כי ה</w:t>
      </w:r>
      <w:r w:rsidRPr="006B51FD">
        <w:rPr>
          <w:rFonts w:ascii="David" w:hAnsi="David" w:cs="David"/>
          <w:sz w:val="24"/>
          <w:szCs w:val="24"/>
          <w:rtl/>
        </w:rPr>
        <w:t>תובענה שלפני, תידון ותבחן במעמד הדיון, וניתנה לנתבעת אפשרות להגיש תגובתה</w:t>
      </w:r>
      <w:r w:rsidR="000726DE">
        <w:rPr>
          <w:rFonts w:ascii="David" w:hAnsi="David" w:cs="David" w:hint="cs"/>
          <w:sz w:val="24"/>
          <w:szCs w:val="24"/>
          <w:rtl/>
        </w:rPr>
        <w:t xml:space="preserve"> וככל ותידרשנה הוראות נוספות, אלו יינתנו בתום הדיון, ל</w:t>
      </w:r>
      <w:r w:rsidRPr="006B51FD">
        <w:rPr>
          <w:rFonts w:ascii="David" w:hAnsi="David" w:cs="David" w:hint="cs"/>
          <w:sz w:val="24"/>
          <w:szCs w:val="24"/>
          <w:rtl/>
        </w:rPr>
        <w:t xml:space="preserve">רבות </w:t>
      </w:r>
      <w:r w:rsidR="000726DE">
        <w:rPr>
          <w:rFonts w:ascii="David" w:hAnsi="David" w:cs="David" w:hint="cs"/>
          <w:sz w:val="24"/>
          <w:szCs w:val="24"/>
          <w:rtl/>
        </w:rPr>
        <w:t xml:space="preserve">בדבר </w:t>
      </w:r>
      <w:r w:rsidRPr="006B51FD">
        <w:rPr>
          <w:rFonts w:ascii="David" w:hAnsi="David" w:cs="David" w:hint="cs"/>
          <w:sz w:val="24"/>
          <w:szCs w:val="24"/>
          <w:rtl/>
        </w:rPr>
        <w:t>הגשת כתב הגנה</w:t>
      </w:r>
      <w:r w:rsidR="000726DE">
        <w:rPr>
          <w:rFonts w:ascii="David" w:hAnsi="David" w:cs="David" w:hint="cs"/>
          <w:sz w:val="24"/>
          <w:szCs w:val="24"/>
          <w:rtl/>
        </w:rPr>
        <w:t>.</w:t>
      </w:r>
    </w:p>
    <w:p w:rsidR="006B51FD" w:rsidRPr="006B51FD" w:rsidRDefault="006B51FD" w:rsidP="006B51FD">
      <w:pPr>
        <w:pStyle w:val="ad"/>
        <w:rPr>
          <w:rFonts w:ascii="David" w:hAnsi="David" w:cs="David"/>
          <w:sz w:val="24"/>
          <w:szCs w:val="24"/>
          <w:rtl/>
        </w:rPr>
      </w:pPr>
    </w:p>
    <w:p w:rsidR="00895CB0" w:rsidRPr="00895CB0" w:rsidRDefault="006B51FD" w:rsidP="00510280">
      <w:pPr>
        <w:pStyle w:val="ad"/>
        <w:numPr>
          <w:ilvl w:val="0"/>
          <w:numId w:val="1"/>
        </w:numPr>
        <w:tabs>
          <w:tab w:val="left" w:pos="1026"/>
        </w:tabs>
        <w:spacing w:line="360" w:lineRule="auto"/>
        <w:jc w:val="both"/>
        <w:rPr>
          <w:rFonts w:ascii="David" w:hAnsi="David" w:cs="David"/>
          <w:b/>
          <w:bCs/>
          <w:sz w:val="24"/>
          <w:szCs w:val="24"/>
        </w:rPr>
      </w:pPr>
      <w:r w:rsidRPr="00895CB0">
        <w:rPr>
          <w:rFonts w:ascii="David" w:hAnsi="David" w:cs="David" w:hint="cs"/>
          <w:sz w:val="24"/>
          <w:szCs w:val="24"/>
          <w:rtl/>
        </w:rPr>
        <w:t xml:space="preserve">הנתבעת הגישה תגובתה, ביום 24.11.24, שם העלתה, בין היתר, טענת סף, בדבר חוסר סמכות עניינית, </w:t>
      </w:r>
      <w:r w:rsidR="000726DE" w:rsidRPr="00895CB0">
        <w:rPr>
          <w:rFonts w:ascii="David" w:hAnsi="David" w:cs="David" w:hint="cs"/>
          <w:sz w:val="24"/>
          <w:szCs w:val="24"/>
          <w:rtl/>
        </w:rPr>
        <w:t>של בית המשפט לענייני משפחה וכי זו מוקנית לבית הדין הרבני. לטענת</w:t>
      </w:r>
      <w:r w:rsidR="00895CB0" w:rsidRPr="00895CB0">
        <w:rPr>
          <w:rFonts w:ascii="David" w:hAnsi="David" w:cs="David" w:hint="cs"/>
          <w:sz w:val="24"/>
          <w:szCs w:val="24"/>
          <w:rtl/>
        </w:rPr>
        <w:t>ה ב</w:t>
      </w:r>
      <w:r w:rsidRPr="00895CB0">
        <w:rPr>
          <w:rFonts w:ascii="David" w:hAnsi="David" w:cs="David" w:hint="cs"/>
          <w:sz w:val="24"/>
          <w:szCs w:val="24"/>
          <w:rtl/>
        </w:rPr>
        <w:t xml:space="preserve">ית הדין הרבני </w:t>
      </w:r>
      <w:r w:rsidR="00895CB0" w:rsidRPr="00895CB0">
        <w:rPr>
          <w:rFonts w:ascii="David" w:hAnsi="David" w:cs="David" w:hint="cs"/>
          <w:sz w:val="24"/>
          <w:szCs w:val="24"/>
          <w:rtl/>
        </w:rPr>
        <w:t>"</w:t>
      </w:r>
      <w:r w:rsidRPr="00895CB0">
        <w:rPr>
          <w:rFonts w:ascii="David" w:hAnsi="David" w:cs="David" w:hint="cs"/>
          <w:sz w:val="24"/>
          <w:szCs w:val="24"/>
          <w:rtl/>
        </w:rPr>
        <w:t>קנה</w:t>
      </w:r>
      <w:r w:rsidR="00895CB0" w:rsidRPr="00895CB0">
        <w:rPr>
          <w:rFonts w:ascii="David" w:hAnsi="David" w:cs="David" w:hint="cs"/>
          <w:sz w:val="24"/>
          <w:szCs w:val="24"/>
          <w:rtl/>
        </w:rPr>
        <w:t>"</w:t>
      </w:r>
      <w:r w:rsidRPr="00895CB0">
        <w:rPr>
          <w:rFonts w:ascii="David" w:hAnsi="David" w:cs="David" w:hint="cs"/>
          <w:sz w:val="24"/>
          <w:szCs w:val="24"/>
          <w:rtl/>
        </w:rPr>
        <w:t xml:space="preserve"> סמכות זו</w:t>
      </w:r>
      <w:r w:rsidR="00895CB0" w:rsidRPr="00895CB0">
        <w:rPr>
          <w:rFonts w:ascii="David" w:hAnsi="David" w:cs="David" w:hint="cs"/>
          <w:sz w:val="24"/>
          <w:szCs w:val="24"/>
          <w:rtl/>
        </w:rPr>
        <w:t>,</w:t>
      </w:r>
      <w:r w:rsidRPr="00895CB0">
        <w:rPr>
          <w:rFonts w:ascii="David" w:hAnsi="David" w:cs="David" w:hint="cs"/>
          <w:sz w:val="24"/>
          <w:szCs w:val="24"/>
          <w:rtl/>
        </w:rPr>
        <w:t xml:space="preserve"> לאחר שהצדדים חתמו על הסכם גירושין (להלן: "</w:t>
      </w:r>
      <w:r w:rsidRPr="00895CB0">
        <w:rPr>
          <w:rFonts w:ascii="David" w:hAnsi="David" w:cs="David" w:hint="cs"/>
          <w:b/>
          <w:bCs/>
          <w:sz w:val="24"/>
          <w:szCs w:val="24"/>
          <w:rtl/>
        </w:rPr>
        <w:t>הסכם גירושין</w:t>
      </w:r>
      <w:r w:rsidRPr="00895CB0">
        <w:rPr>
          <w:rFonts w:ascii="David" w:hAnsi="David" w:cs="David" w:hint="cs"/>
          <w:sz w:val="24"/>
          <w:szCs w:val="24"/>
          <w:rtl/>
        </w:rPr>
        <w:t xml:space="preserve">") </w:t>
      </w:r>
      <w:r w:rsidR="00895CB0" w:rsidRPr="00895CB0">
        <w:rPr>
          <w:rFonts w:ascii="David" w:hAnsi="David" w:cs="David" w:hint="cs"/>
          <w:sz w:val="24"/>
          <w:szCs w:val="24"/>
          <w:rtl/>
        </w:rPr>
        <w:t xml:space="preserve">ולאחר זה נבחן, </w:t>
      </w:r>
      <w:r w:rsidRPr="00895CB0">
        <w:rPr>
          <w:rFonts w:ascii="David" w:hAnsi="David" w:cs="David" w:hint="cs"/>
          <w:sz w:val="24"/>
          <w:szCs w:val="24"/>
          <w:rtl/>
        </w:rPr>
        <w:t>אושר</w:t>
      </w:r>
      <w:r w:rsidR="00895CB0" w:rsidRPr="00895CB0">
        <w:rPr>
          <w:rFonts w:ascii="David" w:hAnsi="David" w:cs="David" w:hint="cs"/>
          <w:sz w:val="24"/>
          <w:szCs w:val="24"/>
          <w:rtl/>
        </w:rPr>
        <w:t xml:space="preserve"> וקיבל תוקף של פסק דין, ביום 25.2.2021.</w:t>
      </w:r>
    </w:p>
    <w:p w:rsidR="00895CB0" w:rsidRPr="00895CB0" w:rsidRDefault="00895CB0" w:rsidP="00895CB0">
      <w:pPr>
        <w:pStyle w:val="ad"/>
        <w:rPr>
          <w:rFonts w:ascii="David" w:hAnsi="David" w:cs="David"/>
          <w:sz w:val="24"/>
          <w:szCs w:val="24"/>
          <w:rtl/>
        </w:rPr>
      </w:pPr>
    </w:p>
    <w:p w:rsidR="006B51FD" w:rsidRPr="00895CB0" w:rsidRDefault="006B51FD" w:rsidP="00895CB0">
      <w:pPr>
        <w:pStyle w:val="ad"/>
        <w:numPr>
          <w:ilvl w:val="0"/>
          <w:numId w:val="1"/>
        </w:numPr>
        <w:tabs>
          <w:tab w:val="left" w:pos="1026"/>
        </w:tabs>
        <w:spacing w:line="360" w:lineRule="auto"/>
        <w:jc w:val="both"/>
        <w:rPr>
          <w:rFonts w:ascii="David" w:hAnsi="David" w:cs="David"/>
          <w:b/>
          <w:bCs/>
          <w:sz w:val="24"/>
          <w:szCs w:val="24"/>
        </w:rPr>
      </w:pPr>
      <w:r w:rsidRPr="00895CB0">
        <w:rPr>
          <w:rFonts w:ascii="David" w:hAnsi="David" w:cs="David" w:hint="cs"/>
          <w:sz w:val="24"/>
          <w:szCs w:val="24"/>
          <w:rtl/>
        </w:rPr>
        <w:t>ה</w:t>
      </w:r>
      <w:r w:rsidR="00895CB0">
        <w:rPr>
          <w:rFonts w:ascii="David" w:hAnsi="David" w:cs="David" w:hint="cs"/>
          <w:sz w:val="24"/>
          <w:szCs w:val="24"/>
          <w:rtl/>
        </w:rPr>
        <w:t xml:space="preserve">נתבעת הוסיפה, כי במסגרת ההליך, </w:t>
      </w:r>
      <w:r w:rsidRPr="00895CB0">
        <w:rPr>
          <w:rFonts w:ascii="David" w:hAnsi="David" w:cs="David" w:hint="cs"/>
          <w:sz w:val="24"/>
          <w:szCs w:val="24"/>
          <w:rtl/>
        </w:rPr>
        <w:t>בפני בית הדין הרבני, נידונה ונבחנה "טובת הקטינים", טרם ניתן תוקף של פסק דין להסכם גירושין. כיוצא מכך בית הדין "דן ופסק" ו</w:t>
      </w:r>
      <w:r w:rsidR="00895CB0">
        <w:rPr>
          <w:rFonts w:ascii="David" w:hAnsi="David" w:cs="David" w:hint="cs"/>
          <w:sz w:val="24"/>
          <w:szCs w:val="24"/>
          <w:rtl/>
        </w:rPr>
        <w:t xml:space="preserve">לכן </w:t>
      </w:r>
      <w:r w:rsidRPr="00895CB0">
        <w:rPr>
          <w:rFonts w:ascii="David" w:hAnsi="David" w:cs="David" w:hint="cs"/>
          <w:sz w:val="24"/>
          <w:szCs w:val="24"/>
          <w:rtl/>
        </w:rPr>
        <w:t>כל עניין שהוסדר במסגרת ההסכם הגירושין, הוא בסמכות בית הדין, לרבות פרשנות ההסכם, בחינת אומד דעתם וכיוצא בזה.</w:t>
      </w:r>
    </w:p>
    <w:p w:rsidR="006B51FD" w:rsidRPr="006B51FD" w:rsidRDefault="006B51FD" w:rsidP="006B51FD">
      <w:pPr>
        <w:pStyle w:val="ad"/>
        <w:rPr>
          <w:rFonts w:ascii="David" w:hAnsi="David" w:cs="David"/>
          <w:sz w:val="24"/>
          <w:szCs w:val="24"/>
          <w:rtl/>
        </w:rPr>
      </w:pPr>
    </w:p>
    <w:p w:rsidR="006B51FD" w:rsidRDefault="006B51FD" w:rsidP="00D0353B">
      <w:pPr>
        <w:pStyle w:val="ad"/>
        <w:numPr>
          <w:ilvl w:val="0"/>
          <w:numId w:val="1"/>
        </w:numPr>
        <w:tabs>
          <w:tab w:val="left" w:pos="1026"/>
        </w:tabs>
        <w:spacing w:line="360" w:lineRule="auto"/>
        <w:jc w:val="both"/>
        <w:rPr>
          <w:rFonts w:ascii="David" w:hAnsi="David" w:cs="David"/>
          <w:sz w:val="24"/>
          <w:szCs w:val="24"/>
        </w:rPr>
      </w:pPr>
      <w:r w:rsidRPr="006B51FD">
        <w:rPr>
          <w:rFonts w:ascii="David" w:hAnsi="David" w:cs="David" w:hint="cs"/>
          <w:sz w:val="24"/>
          <w:szCs w:val="24"/>
          <w:rtl/>
        </w:rPr>
        <w:t xml:space="preserve">בדיון שהתקיים ביום 25.11.2024, טען עו"ד </w:t>
      </w:r>
      <w:r w:rsidR="00D0353B">
        <w:rPr>
          <w:rFonts w:ascii="David" w:hAnsi="David" w:cs="David" w:hint="cs"/>
          <w:sz w:val="24"/>
          <w:szCs w:val="24"/>
          <w:rtl/>
        </w:rPr>
        <w:t>----</w:t>
      </w:r>
      <w:r w:rsidRPr="006B51FD">
        <w:rPr>
          <w:rFonts w:ascii="David" w:hAnsi="David" w:cs="David" w:hint="cs"/>
          <w:sz w:val="24"/>
          <w:szCs w:val="24"/>
          <w:rtl/>
        </w:rPr>
        <w:t>, ב"כ הנתבעת</w:t>
      </w:r>
      <w:r w:rsidR="00895CB0">
        <w:rPr>
          <w:rFonts w:ascii="David" w:hAnsi="David" w:cs="David" w:hint="cs"/>
          <w:sz w:val="24"/>
          <w:szCs w:val="24"/>
          <w:rtl/>
        </w:rPr>
        <w:t>:</w:t>
      </w:r>
      <w:r w:rsidRPr="006B51FD">
        <w:rPr>
          <w:rFonts w:ascii="David" w:hAnsi="David" w:cs="David" w:hint="cs"/>
          <w:sz w:val="24"/>
          <w:szCs w:val="24"/>
          <w:rtl/>
        </w:rPr>
        <w:t xml:space="preserve"> </w:t>
      </w:r>
      <w:r w:rsidRPr="006B51FD">
        <w:rPr>
          <w:rFonts w:ascii="David" w:hAnsi="David" w:cs="David" w:hint="cs"/>
          <w:b/>
          <w:bCs/>
          <w:sz w:val="24"/>
          <w:szCs w:val="24"/>
          <w:rtl/>
        </w:rPr>
        <w:t>"בבית הדין היתה הסכמה וניתן לזה תוקף של פסק דין ואם רוצים לבוא ולשנות יפנה בבקשה לבית הדין הרבני."</w:t>
      </w:r>
      <w:r w:rsidRPr="006B51FD">
        <w:rPr>
          <w:rFonts w:ascii="David" w:hAnsi="David" w:cs="David" w:hint="cs"/>
          <w:sz w:val="24"/>
          <w:szCs w:val="24"/>
          <w:rtl/>
        </w:rPr>
        <w:t xml:space="preserve"> </w:t>
      </w:r>
      <w:r w:rsidR="00895CB0">
        <w:rPr>
          <w:rFonts w:ascii="David" w:hAnsi="David" w:cs="David" w:hint="cs"/>
          <w:sz w:val="24"/>
          <w:szCs w:val="24"/>
          <w:rtl/>
        </w:rPr>
        <w:t xml:space="preserve">עוד </w:t>
      </w:r>
      <w:r w:rsidRPr="006B51FD">
        <w:rPr>
          <w:rFonts w:ascii="David" w:hAnsi="David" w:cs="David" w:hint="cs"/>
          <w:sz w:val="24"/>
          <w:szCs w:val="24"/>
          <w:rtl/>
        </w:rPr>
        <w:t xml:space="preserve">הוסיף </w:t>
      </w:r>
      <w:r w:rsidRPr="006B51FD">
        <w:rPr>
          <w:rFonts w:ascii="David" w:hAnsi="David" w:cs="David" w:hint="cs"/>
          <w:b/>
          <w:bCs/>
          <w:sz w:val="24"/>
          <w:szCs w:val="24"/>
          <w:rtl/>
        </w:rPr>
        <w:t xml:space="preserve">"לשאלת בית המשפט בשאלת הסמכות העניינית, אני עדיין טוען ומחזיק בדעתי </w:t>
      </w:r>
      <w:r w:rsidRPr="006B51FD">
        <w:rPr>
          <w:rFonts w:ascii="David" w:hAnsi="David" w:cs="David" w:hint="cs"/>
          <w:b/>
          <w:bCs/>
          <w:sz w:val="24"/>
          <w:szCs w:val="24"/>
          <w:rtl/>
        </w:rPr>
        <w:lastRenderedPageBreak/>
        <w:t xml:space="preserve">כיוון בית הדין דן ופסק, כל שינוי במה שדן ופסק ישנה סמכות ממשוכת </w:t>
      </w:r>
      <w:r w:rsidRPr="006B51FD">
        <w:rPr>
          <w:rFonts w:ascii="David" w:hAnsi="David" w:cs="David" w:hint="cs"/>
          <w:sz w:val="24"/>
          <w:szCs w:val="24"/>
          <w:rtl/>
        </w:rPr>
        <w:t xml:space="preserve">(צ.ל. "מתמשכת" </w:t>
      </w:r>
      <w:r w:rsidRPr="006B51FD">
        <w:rPr>
          <w:rFonts w:ascii="David" w:hAnsi="David" w:cs="David"/>
          <w:sz w:val="24"/>
          <w:szCs w:val="24"/>
          <w:rtl/>
        </w:rPr>
        <w:t>–</w:t>
      </w:r>
      <w:r w:rsidRPr="006B51FD">
        <w:rPr>
          <w:rFonts w:ascii="David" w:hAnsi="David" w:cs="David" w:hint="cs"/>
          <w:sz w:val="24"/>
          <w:szCs w:val="24"/>
          <w:rtl/>
        </w:rPr>
        <w:t xml:space="preserve"> ד.פ.ו.)</w:t>
      </w:r>
      <w:r w:rsidRPr="006B51FD">
        <w:rPr>
          <w:rFonts w:ascii="David" w:hAnsi="David" w:cs="David" w:hint="cs"/>
          <w:b/>
          <w:bCs/>
          <w:sz w:val="24"/>
          <w:szCs w:val="24"/>
          <w:rtl/>
        </w:rPr>
        <w:t xml:space="preserve"> של בית הדין ועל כן, אם היה ורוצה לפנות היה צריך לפנות הדין לשנות את ההחלטה... ". </w:t>
      </w:r>
    </w:p>
    <w:p w:rsidR="006B51FD" w:rsidRPr="006B51FD" w:rsidRDefault="006B51FD" w:rsidP="006B51FD">
      <w:pPr>
        <w:pStyle w:val="ad"/>
        <w:rPr>
          <w:rFonts w:ascii="David" w:hAnsi="David" w:cs="David"/>
          <w:sz w:val="24"/>
          <w:szCs w:val="24"/>
          <w:rtl/>
        </w:rPr>
      </w:pPr>
    </w:p>
    <w:p w:rsidR="006B51FD" w:rsidRDefault="006B51FD" w:rsidP="00895CB0">
      <w:pPr>
        <w:pStyle w:val="ad"/>
        <w:numPr>
          <w:ilvl w:val="0"/>
          <w:numId w:val="1"/>
        </w:numPr>
        <w:tabs>
          <w:tab w:val="left" w:pos="1026"/>
        </w:tabs>
        <w:spacing w:line="360" w:lineRule="auto"/>
        <w:jc w:val="both"/>
        <w:rPr>
          <w:rFonts w:ascii="David" w:hAnsi="David" w:cs="David"/>
          <w:sz w:val="24"/>
          <w:szCs w:val="24"/>
        </w:rPr>
      </w:pPr>
      <w:r w:rsidRPr="006B51FD">
        <w:rPr>
          <w:rFonts w:ascii="David" w:hAnsi="David" w:cs="David" w:hint="cs"/>
          <w:sz w:val="24"/>
          <w:szCs w:val="24"/>
          <w:rtl/>
        </w:rPr>
        <w:t>בתום הדיון התבקשו מספר סעדים ונקבע, כי קודם להכרעה בהם, יש להכריע בטענת הסף, וניתנה לב"כ התובע הזדמנות להגיש תגובתה בכתב</w:t>
      </w:r>
      <w:r w:rsidR="00895CB0">
        <w:rPr>
          <w:rFonts w:ascii="David" w:hAnsi="David" w:cs="David" w:hint="cs"/>
          <w:sz w:val="24"/>
          <w:szCs w:val="24"/>
          <w:rtl/>
        </w:rPr>
        <w:t>,</w:t>
      </w:r>
      <w:r w:rsidRPr="006B51FD">
        <w:rPr>
          <w:rFonts w:ascii="David" w:hAnsi="David" w:cs="David" w:hint="cs"/>
          <w:sz w:val="24"/>
          <w:szCs w:val="24"/>
          <w:rtl/>
        </w:rPr>
        <w:t xml:space="preserve"> היא התגובה שלפני</w:t>
      </w:r>
      <w:r w:rsidR="00895CB0">
        <w:rPr>
          <w:rFonts w:ascii="David" w:hAnsi="David" w:cs="David" w:hint="cs"/>
          <w:sz w:val="24"/>
          <w:szCs w:val="24"/>
          <w:rtl/>
        </w:rPr>
        <w:t xml:space="preserve">. לטענת התובע, </w:t>
      </w:r>
      <w:r w:rsidRPr="006B51FD">
        <w:rPr>
          <w:rFonts w:ascii="David" w:hAnsi="David" w:cs="David" w:hint="cs"/>
          <w:sz w:val="24"/>
          <w:szCs w:val="24"/>
          <w:rtl/>
        </w:rPr>
        <w:t>בפני בית הדין הרבני, הוגשה בקשה לאישור הסכם גירושין וזו בלבד. לא נידונו תובענות הנוגעות ל</w:t>
      </w:r>
      <w:r w:rsidR="00895CB0">
        <w:rPr>
          <w:rFonts w:ascii="David" w:hAnsi="David" w:cs="David" w:hint="cs"/>
          <w:sz w:val="24"/>
          <w:szCs w:val="24"/>
          <w:rtl/>
        </w:rPr>
        <w:t>ענייני ה</w:t>
      </w:r>
      <w:r w:rsidRPr="006B51FD">
        <w:rPr>
          <w:rFonts w:ascii="David" w:hAnsi="David" w:cs="David" w:hint="cs"/>
          <w:sz w:val="24"/>
          <w:szCs w:val="24"/>
          <w:rtl/>
        </w:rPr>
        <w:t xml:space="preserve">קטינים, לרבות בעניינים מושא התובענה דנא. </w:t>
      </w:r>
      <w:r w:rsidR="00895CB0">
        <w:rPr>
          <w:rFonts w:ascii="David" w:hAnsi="David" w:cs="David" w:hint="cs"/>
          <w:sz w:val="24"/>
          <w:szCs w:val="24"/>
          <w:rtl/>
        </w:rPr>
        <w:t xml:space="preserve">כן </w:t>
      </w:r>
      <w:r w:rsidRPr="006B51FD">
        <w:rPr>
          <w:rFonts w:ascii="David" w:hAnsi="David" w:cs="David" w:hint="cs"/>
          <w:sz w:val="24"/>
          <w:szCs w:val="24"/>
          <w:rtl/>
        </w:rPr>
        <w:t>נטען</w:t>
      </w:r>
      <w:r w:rsidR="00895CB0">
        <w:rPr>
          <w:rFonts w:ascii="David" w:hAnsi="David" w:cs="David" w:hint="cs"/>
          <w:sz w:val="24"/>
          <w:szCs w:val="24"/>
          <w:rtl/>
        </w:rPr>
        <w:t>,</w:t>
      </w:r>
      <w:r w:rsidRPr="006B51FD">
        <w:rPr>
          <w:rFonts w:ascii="David" w:hAnsi="David" w:cs="David" w:hint="cs"/>
          <w:sz w:val="24"/>
          <w:szCs w:val="24"/>
          <w:rtl/>
        </w:rPr>
        <w:t xml:space="preserve"> כי בפני בית הדין נידונה </w:t>
      </w:r>
      <w:r w:rsidR="00895CB0">
        <w:rPr>
          <w:rFonts w:ascii="David" w:hAnsi="David" w:cs="David" w:hint="cs"/>
          <w:sz w:val="24"/>
          <w:szCs w:val="24"/>
          <w:rtl/>
        </w:rPr>
        <w:t xml:space="preserve">אך </w:t>
      </w:r>
      <w:r w:rsidRPr="006B51FD">
        <w:rPr>
          <w:rFonts w:ascii="David" w:hAnsi="David" w:cs="David" w:hint="cs"/>
          <w:sz w:val="24"/>
          <w:szCs w:val="24"/>
          <w:rtl/>
        </w:rPr>
        <w:t>בקשה "בתיק אישור הסכם".</w:t>
      </w:r>
    </w:p>
    <w:p w:rsidR="006B51FD" w:rsidRPr="006B51FD" w:rsidRDefault="006B51FD" w:rsidP="006B51FD">
      <w:pPr>
        <w:pStyle w:val="ad"/>
        <w:rPr>
          <w:rFonts w:ascii="David" w:hAnsi="David" w:cs="David"/>
          <w:sz w:val="24"/>
          <w:szCs w:val="24"/>
          <w:rtl/>
        </w:rPr>
      </w:pPr>
    </w:p>
    <w:p w:rsidR="006B51FD" w:rsidRPr="006B51FD" w:rsidRDefault="006B51FD" w:rsidP="006B51FD">
      <w:pPr>
        <w:pStyle w:val="ad"/>
        <w:tabs>
          <w:tab w:val="left" w:pos="1026"/>
        </w:tabs>
        <w:spacing w:line="360" w:lineRule="auto"/>
        <w:jc w:val="both"/>
        <w:rPr>
          <w:rFonts w:ascii="David" w:hAnsi="David" w:cs="David"/>
          <w:sz w:val="24"/>
          <w:szCs w:val="24"/>
        </w:rPr>
      </w:pPr>
      <w:r w:rsidRPr="006B51FD">
        <w:rPr>
          <w:rFonts w:ascii="David" w:hAnsi="David" w:cs="David" w:hint="cs"/>
          <w:sz w:val="24"/>
          <w:szCs w:val="24"/>
          <w:rtl/>
        </w:rPr>
        <w:t>אטעים כי לבקשת הנתבעת לא צורפו מסמכים לבסס הנטען ואלו הוגשו במסגרת התגובה.</w:t>
      </w:r>
      <w:r w:rsidRPr="006B51FD">
        <w:rPr>
          <w:rFonts w:ascii="David" w:hAnsi="David" w:cs="David" w:hint="cs"/>
          <w:b/>
          <w:bCs/>
          <w:sz w:val="24"/>
          <w:szCs w:val="24"/>
          <w:u w:val="single"/>
          <w:rtl/>
        </w:rPr>
        <w:t xml:space="preserve"> </w:t>
      </w:r>
    </w:p>
    <w:p w:rsidR="006B51FD" w:rsidRPr="006B51FD" w:rsidRDefault="006B51FD" w:rsidP="006B51FD">
      <w:pPr>
        <w:pStyle w:val="ad"/>
        <w:rPr>
          <w:rFonts w:ascii="David" w:hAnsi="David" w:cs="David"/>
          <w:b/>
          <w:bCs/>
          <w:sz w:val="24"/>
          <w:szCs w:val="24"/>
          <w:u w:val="single"/>
          <w:rtl/>
        </w:rPr>
      </w:pPr>
    </w:p>
    <w:p w:rsidR="006B51FD" w:rsidRPr="006B51FD" w:rsidRDefault="006B51FD" w:rsidP="006B51FD">
      <w:pPr>
        <w:tabs>
          <w:tab w:val="left" w:pos="1026"/>
        </w:tabs>
        <w:spacing w:line="360" w:lineRule="auto"/>
        <w:jc w:val="both"/>
        <w:rPr>
          <w:rFonts w:ascii="David" w:hAnsi="David"/>
        </w:rPr>
      </w:pPr>
      <w:r w:rsidRPr="006B51FD">
        <w:rPr>
          <w:rFonts w:ascii="David" w:hAnsi="David" w:hint="cs"/>
          <w:b/>
          <w:bCs/>
          <w:u w:val="single"/>
          <w:rtl/>
        </w:rPr>
        <w:t>דיון והכרעה</w:t>
      </w:r>
    </w:p>
    <w:p w:rsidR="006B51FD" w:rsidRPr="006B51FD" w:rsidRDefault="006B51FD" w:rsidP="006B51FD">
      <w:pPr>
        <w:pStyle w:val="ad"/>
        <w:rPr>
          <w:rFonts w:ascii="David" w:hAnsi="David" w:cs="David"/>
          <w:sz w:val="24"/>
          <w:szCs w:val="24"/>
          <w:rtl/>
        </w:rPr>
      </w:pPr>
    </w:p>
    <w:p w:rsidR="006B51FD" w:rsidRPr="006B51FD" w:rsidRDefault="006B51FD" w:rsidP="006B51FD">
      <w:pPr>
        <w:pStyle w:val="ad"/>
        <w:numPr>
          <w:ilvl w:val="0"/>
          <w:numId w:val="1"/>
        </w:numPr>
        <w:tabs>
          <w:tab w:val="left" w:pos="1026"/>
        </w:tabs>
        <w:spacing w:line="360" w:lineRule="auto"/>
        <w:jc w:val="both"/>
        <w:rPr>
          <w:rFonts w:ascii="David" w:hAnsi="David" w:cs="David"/>
          <w:sz w:val="24"/>
          <w:szCs w:val="24"/>
        </w:rPr>
      </w:pPr>
      <w:r w:rsidRPr="006B51FD">
        <w:rPr>
          <w:rFonts w:ascii="David" w:hAnsi="David" w:cs="David" w:hint="cs"/>
          <w:sz w:val="24"/>
          <w:szCs w:val="24"/>
          <w:rtl/>
        </w:rPr>
        <w:t xml:space="preserve">לבחינת סוגיית הסמכות הנמשכת, אפנה לבג"ץ 8578/01 </w:t>
      </w:r>
      <w:r w:rsidRPr="006B51FD">
        <w:rPr>
          <w:rFonts w:ascii="David" w:hAnsi="David" w:cs="David" w:hint="cs"/>
          <w:b/>
          <w:bCs/>
          <w:sz w:val="24"/>
          <w:szCs w:val="24"/>
          <w:rtl/>
        </w:rPr>
        <w:t>חליווה נ' חליווה</w:t>
      </w:r>
      <w:r w:rsidRPr="006B51FD">
        <w:rPr>
          <w:rFonts w:ascii="David" w:hAnsi="David" w:cs="David" w:hint="cs"/>
          <w:sz w:val="24"/>
          <w:szCs w:val="24"/>
          <w:rtl/>
        </w:rPr>
        <w:t xml:space="preserve">, פ"ד נו(5) 634, שם הבהיר בית המשפט העליון כי: </w:t>
      </w:r>
    </w:p>
    <w:p w:rsidR="006B51FD" w:rsidRDefault="006B51FD" w:rsidP="006B51FD">
      <w:pPr>
        <w:pStyle w:val="ad"/>
        <w:tabs>
          <w:tab w:val="left" w:pos="1026"/>
        </w:tabs>
        <w:spacing w:line="240" w:lineRule="auto"/>
        <w:jc w:val="both"/>
        <w:rPr>
          <w:rFonts w:ascii="David" w:hAnsi="David" w:cs="David"/>
          <w:color w:val="000000"/>
          <w:sz w:val="24"/>
          <w:szCs w:val="24"/>
          <w:rtl/>
        </w:rPr>
      </w:pPr>
      <w:r w:rsidRPr="006B51FD">
        <w:rPr>
          <w:rFonts w:ascii="David" w:hAnsi="David" w:cs="David" w:hint="cs"/>
          <w:b/>
          <w:bCs/>
          <w:sz w:val="24"/>
          <w:szCs w:val="24"/>
          <w:rtl/>
        </w:rPr>
        <w:t xml:space="preserve">"אין באישור ההסכם כפסק- דין על </w:t>
      </w:r>
      <w:r w:rsidRPr="006B51FD">
        <w:rPr>
          <w:rFonts w:ascii="David" w:hAnsi="David" w:cs="David"/>
          <w:b/>
          <w:bCs/>
          <w:sz w:val="24"/>
          <w:szCs w:val="24"/>
          <w:rtl/>
        </w:rPr>
        <w:t>–</w:t>
      </w:r>
      <w:r w:rsidRPr="006B51FD">
        <w:rPr>
          <w:rFonts w:ascii="David" w:hAnsi="David" w:cs="David" w:hint="cs"/>
          <w:b/>
          <w:bCs/>
          <w:sz w:val="24"/>
          <w:szCs w:val="24"/>
          <w:rtl/>
        </w:rPr>
        <w:t xml:space="preserve"> ידי- בית- המשפט לענייני משפחה כדי להקנות לו סמכות נמשכת לדון בסוגיה. ככלל, דוקטרינת הסמכות הנמשכת חלה על-פי מהותה ותכליתה במצבים שבהם בית המשפט דן ופסק מכוח סמכות מקורית לגופה של סוגיה בעלת אופי מתמשך, כך שמן הראוי שימשיך להחזיק בסמכותו בהתדיינות נוספת בין בני-הזוג באותה סוגיה".</w:t>
      </w:r>
    </w:p>
    <w:p w:rsidR="006B51FD" w:rsidRDefault="006B51FD" w:rsidP="006B51FD">
      <w:pPr>
        <w:pStyle w:val="ad"/>
        <w:tabs>
          <w:tab w:val="left" w:pos="1026"/>
        </w:tabs>
        <w:spacing w:line="240" w:lineRule="auto"/>
        <w:jc w:val="both"/>
        <w:rPr>
          <w:rFonts w:ascii="David" w:hAnsi="David" w:cs="David"/>
          <w:color w:val="000000"/>
          <w:sz w:val="24"/>
          <w:szCs w:val="24"/>
          <w:rtl/>
        </w:rPr>
      </w:pPr>
    </w:p>
    <w:p w:rsidR="006B51FD" w:rsidRDefault="006B51FD" w:rsidP="006B51FD">
      <w:pPr>
        <w:pStyle w:val="ad"/>
        <w:tabs>
          <w:tab w:val="left" w:pos="1026"/>
        </w:tabs>
        <w:spacing w:line="360" w:lineRule="auto"/>
        <w:jc w:val="both"/>
        <w:rPr>
          <w:rFonts w:ascii="David" w:hAnsi="David" w:cs="David"/>
          <w:color w:val="000000"/>
          <w:sz w:val="24"/>
          <w:szCs w:val="24"/>
          <w:rtl/>
        </w:rPr>
      </w:pPr>
      <w:r w:rsidRPr="006B51FD">
        <w:rPr>
          <w:rFonts w:ascii="David" w:hAnsi="David" w:cs="David"/>
          <w:color w:val="000000"/>
          <w:sz w:val="24"/>
          <w:szCs w:val="24"/>
          <w:rtl/>
        </w:rPr>
        <w:t>בהעדר הסכמה של הצדדים, כי הערכאה תקנה הסמכות הנמשכת לדון באותה סוגיה, סמכות נמשכת מותנית בהתקיימות שני תנאים מצטברים:</w:t>
      </w:r>
    </w:p>
    <w:p w:rsidR="006B51FD" w:rsidRDefault="006B51FD" w:rsidP="006B51FD">
      <w:pPr>
        <w:pStyle w:val="ad"/>
        <w:tabs>
          <w:tab w:val="left" w:pos="1026"/>
        </w:tabs>
        <w:spacing w:line="240" w:lineRule="auto"/>
        <w:jc w:val="both"/>
        <w:rPr>
          <w:rFonts w:ascii="David" w:hAnsi="David" w:cs="David"/>
          <w:color w:val="000000"/>
          <w:sz w:val="24"/>
          <w:szCs w:val="24"/>
          <w:u w:val="single"/>
          <w:rtl/>
        </w:rPr>
      </w:pPr>
      <w:r w:rsidRPr="006B51FD">
        <w:rPr>
          <w:rFonts w:ascii="David" w:hAnsi="David" w:cs="David"/>
          <w:sz w:val="24"/>
          <w:szCs w:val="24"/>
          <w:u w:val="single"/>
          <w:rtl/>
        </w:rPr>
        <w:t>התנאי הראשון</w:t>
      </w:r>
      <w:r w:rsidRPr="006B51FD">
        <w:rPr>
          <w:rFonts w:ascii="David" w:hAnsi="David" w:cs="David"/>
          <w:sz w:val="24"/>
          <w:szCs w:val="24"/>
          <w:rtl/>
        </w:rPr>
        <w:t xml:space="preserve">, כי </w:t>
      </w:r>
      <w:r w:rsidRPr="006B51FD">
        <w:rPr>
          <w:rFonts w:ascii="David" w:hAnsi="David" w:cs="David"/>
          <w:b/>
          <w:bCs/>
          <w:sz w:val="24"/>
          <w:szCs w:val="24"/>
          <w:rtl/>
        </w:rPr>
        <w:t>"ההחלטה המקורית ניתנה לאחר בירור ושקילה. עליה לשקף הליך של דיון משפטי, שבמהלכו נשמעו או הוגשו טיעוני הצדדים, נקבעו ממצאים ונתקבלו הכרעות. על כן ברור, ראשית, כי סוגיה מאוחרת שכלל לא נדונה בערכאה המקורית וממילא לא הוכרעה, לא תקים סמכות נמשכת לאותה ערכאה ואפילו היא קשורה לענינים אחרים, שכן נדונו"</w:t>
      </w:r>
      <w:r w:rsidRPr="006B51FD">
        <w:rPr>
          <w:rFonts w:ascii="David" w:hAnsi="David" w:cs="David"/>
          <w:color w:val="000000"/>
          <w:sz w:val="24"/>
          <w:szCs w:val="24"/>
          <w:rtl/>
        </w:rPr>
        <w:t xml:space="preserve"> (ראו בג"צ 4111/07).</w:t>
      </w:r>
    </w:p>
    <w:p w:rsidR="006B51FD" w:rsidRDefault="006B51FD" w:rsidP="006B51FD">
      <w:pPr>
        <w:pStyle w:val="ad"/>
        <w:tabs>
          <w:tab w:val="left" w:pos="1026"/>
        </w:tabs>
        <w:spacing w:line="240" w:lineRule="auto"/>
        <w:jc w:val="both"/>
        <w:rPr>
          <w:rFonts w:ascii="David" w:hAnsi="David" w:cs="David"/>
          <w:color w:val="000000"/>
          <w:sz w:val="24"/>
          <w:szCs w:val="24"/>
          <w:u w:val="single"/>
          <w:rtl/>
        </w:rPr>
      </w:pPr>
    </w:p>
    <w:p w:rsidR="006B51FD" w:rsidRDefault="006B51FD" w:rsidP="006B51FD">
      <w:pPr>
        <w:pStyle w:val="ad"/>
        <w:tabs>
          <w:tab w:val="left" w:pos="1026"/>
        </w:tabs>
        <w:spacing w:line="240" w:lineRule="auto"/>
        <w:jc w:val="both"/>
        <w:rPr>
          <w:rFonts w:ascii="David" w:hAnsi="David" w:cs="David"/>
          <w:sz w:val="24"/>
          <w:szCs w:val="24"/>
        </w:rPr>
      </w:pPr>
      <w:r w:rsidRPr="006B51FD">
        <w:rPr>
          <w:rFonts w:ascii="David" w:hAnsi="David" w:cs="David"/>
          <w:color w:val="000000"/>
          <w:sz w:val="24"/>
          <w:szCs w:val="24"/>
          <w:u w:val="single"/>
          <w:rtl/>
        </w:rPr>
        <w:t>התנאי השני</w:t>
      </w:r>
      <w:r w:rsidRPr="006B51FD">
        <w:rPr>
          <w:rFonts w:ascii="David" w:hAnsi="David" w:cs="David"/>
          <w:color w:val="000000"/>
          <w:sz w:val="24"/>
          <w:szCs w:val="24"/>
          <w:rtl/>
        </w:rPr>
        <w:t xml:space="preserve"> </w:t>
      </w:r>
      <w:r w:rsidRPr="006B51FD">
        <w:rPr>
          <w:rFonts w:ascii="David" w:hAnsi="David" w:cs="David"/>
          <w:b/>
          <w:bCs/>
          <w:sz w:val="24"/>
          <w:szCs w:val="24"/>
          <w:rtl/>
        </w:rPr>
        <w:t xml:space="preserve">"שהסוגיה המאוחרת קרובה במידה מספקת לזו המקורית, עד כי נשמר צביונו המתמשך של הענין, שהוא המצדיק שיבה אל הערכאה אשר בראשונה" </w:t>
      </w:r>
      <w:r w:rsidRPr="006B51FD">
        <w:rPr>
          <w:rFonts w:ascii="David" w:hAnsi="David" w:cs="David"/>
          <w:color w:val="000000"/>
          <w:sz w:val="24"/>
          <w:szCs w:val="24"/>
          <w:rtl/>
        </w:rPr>
        <w:t>(ראו בג"צ 4111/07).</w:t>
      </w:r>
    </w:p>
    <w:p w:rsidR="006B51FD" w:rsidRDefault="006B51FD" w:rsidP="006B51FD">
      <w:pPr>
        <w:pStyle w:val="ad"/>
        <w:tabs>
          <w:tab w:val="left" w:pos="1026"/>
        </w:tabs>
        <w:spacing w:line="360" w:lineRule="auto"/>
        <w:jc w:val="both"/>
        <w:rPr>
          <w:rFonts w:ascii="David" w:hAnsi="David" w:cs="David"/>
          <w:sz w:val="24"/>
          <w:szCs w:val="24"/>
        </w:rPr>
      </w:pPr>
    </w:p>
    <w:p w:rsidR="00872EDC" w:rsidRDefault="006B51FD" w:rsidP="00872EDC">
      <w:pPr>
        <w:pStyle w:val="ad"/>
        <w:numPr>
          <w:ilvl w:val="0"/>
          <w:numId w:val="1"/>
        </w:numPr>
        <w:tabs>
          <w:tab w:val="left" w:pos="1026"/>
        </w:tabs>
        <w:spacing w:line="360" w:lineRule="auto"/>
        <w:jc w:val="both"/>
        <w:rPr>
          <w:rFonts w:ascii="David" w:hAnsi="David" w:cs="David"/>
          <w:sz w:val="24"/>
          <w:szCs w:val="24"/>
        </w:rPr>
      </w:pPr>
      <w:r w:rsidRPr="00872EDC">
        <w:rPr>
          <w:rFonts w:ascii="David" w:hAnsi="David" w:cs="David" w:hint="cs"/>
          <w:sz w:val="24"/>
          <w:szCs w:val="24"/>
          <w:rtl/>
        </w:rPr>
        <w:t xml:space="preserve">אין חולק כי הצדדים חתמו על הסכם גירושין, אשר במסגרתו הסדירו יחסיהם, לרבות ענייני רכוש , מזונות, "משמורת" וזמני שהות. בתאריך 25.1.2021 התקיים דיון בבית הדין הרבני, לאישור הסכם זה וניתן תוקף של פסק דין. </w:t>
      </w:r>
    </w:p>
    <w:p w:rsidR="00872EDC" w:rsidRDefault="006B51FD" w:rsidP="00872EDC">
      <w:pPr>
        <w:pStyle w:val="ad"/>
        <w:numPr>
          <w:ilvl w:val="0"/>
          <w:numId w:val="1"/>
        </w:numPr>
        <w:tabs>
          <w:tab w:val="left" w:pos="1026"/>
        </w:tabs>
        <w:spacing w:line="360" w:lineRule="auto"/>
        <w:jc w:val="both"/>
        <w:rPr>
          <w:rFonts w:ascii="David" w:hAnsi="David" w:cs="David"/>
          <w:sz w:val="24"/>
          <w:szCs w:val="24"/>
        </w:rPr>
      </w:pPr>
      <w:r w:rsidRPr="00872EDC">
        <w:rPr>
          <w:rFonts w:ascii="David" w:hAnsi="David" w:cs="David" w:hint="cs"/>
          <w:sz w:val="24"/>
          <w:szCs w:val="24"/>
          <w:rtl/>
        </w:rPr>
        <w:lastRenderedPageBreak/>
        <w:t>כאמור, סמכות נמשכת מתקיימת מקום בו הצדדים התדיינו, במסגרת דיון, לגופו של עניין, התקיימו דיונים, בוצעו חקירות, נשמעו טענות הצדדים לעומקם, נעשה בירור והתקבלה הכרעה בעניין, בפני ערכאה מסוימת.</w:t>
      </w:r>
    </w:p>
    <w:p w:rsidR="00895CB0" w:rsidRDefault="00895CB0" w:rsidP="00895CB0">
      <w:pPr>
        <w:pStyle w:val="ad"/>
        <w:tabs>
          <w:tab w:val="left" w:pos="1026"/>
        </w:tabs>
        <w:spacing w:line="360" w:lineRule="auto"/>
        <w:jc w:val="both"/>
        <w:rPr>
          <w:rFonts w:ascii="David" w:hAnsi="David" w:cs="David"/>
          <w:sz w:val="24"/>
          <w:szCs w:val="24"/>
        </w:rPr>
      </w:pPr>
    </w:p>
    <w:p w:rsidR="00895CB0" w:rsidRPr="00895CB0" w:rsidRDefault="00895CB0" w:rsidP="00895CB0">
      <w:pPr>
        <w:pStyle w:val="ad"/>
        <w:numPr>
          <w:ilvl w:val="0"/>
          <w:numId w:val="1"/>
        </w:numPr>
        <w:tabs>
          <w:tab w:val="left" w:pos="1026"/>
        </w:tabs>
        <w:spacing w:line="360" w:lineRule="auto"/>
        <w:jc w:val="both"/>
        <w:rPr>
          <w:rFonts w:ascii="David" w:hAnsi="David" w:cs="David"/>
          <w:sz w:val="24"/>
          <w:szCs w:val="24"/>
        </w:rPr>
      </w:pPr>
      <w:r>
        <w:rPr>
          <w:rFonts w:ascii="David" w:hAnsi="David" w:cs="David" w:hint="cs"/>
          <w:sz w:val="24"/>
          <w:szCs w:val="24"/>
          <w:rtl/>
        </w:rPr>
        <w:t>ב"כ הנתבעת ביקש לסמוך על ברור שנערך קודם לאישור ובשל חשיבות הדברים אביא הדברים כפי שתועדו:</w:t>
      </w:r>
    </w:p>
    <w:p w:rsidR="00872EDC" w:rsidRDefault="00895CB0" w:rsidP="00872EDC">
      <w:pPr>
        <w:pStyle w:val="ad"/>
        <w:tabs>
          <w:tab w:val="left" w:pos="1026"/>
        </w:tabs>
        <w:spacing w:line="360" w:lineRule="auto"/>
        <w:jc w:val="both"/>
        <w:rPr>
          <w:rFonts w:ascii="David" w:hAnsi="David" w:cs="David"/>
          <w:sz w:val="24"/>
          <w:szCs w:val="24"/>
          <w:rtl/>
        </w:rPr>
      </w:pPr>
      <w:r w:rsidRPr="00895CB0">
        <w:rPr>
          <w:rFonts w:ascii="David" w:hAnsi="David" w:cs="David"/>
          <w:noProof/>
          <w:sz w:val="24"/>
          <w:szCs w:val="24"/>
          <w:rtl/>
        </w:rPr>
        <w:drawing>
          <wp:inline distT="0" distB="0" distL="0" distR="0" wp14:anchorId="3AFADD01" wp14:editId="1C3315D5">
            <wp:extent cx="4410691" cy="3286584"/>
            <wp:effectExtent l="0" t="0" r="9525" b="9525"/>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10691" cy="3286584"/>
                    </a:xfrm>
                    <a:prstGeom prst="rect">
                      <a:avLst/>
                    </a:prstGeom>
                  </pic:spPr>
                </pic:pic>
              </a:graphicData>
            </a:graphic>
          </wp:inline>
        </w:drawing>
      </w:r>
    </w:p>
    <w:p w:rsidR="00895CB0" w:rsidRPr="00895CB0" w:rsidRDefault="00895CB0" w:rsidP="00872EDC">
      <w:pPr>
        <w:pStyle w:val="ad"/>
        <w:tabs>
          <w:tab w:val="left" w:pos="1026"/>
        </w:tabs>
        <w:spacing w:line="360" w:lineRule="auto"/>
        <w:jc w:val="both"/>
        <w:rPr>
          <w:rFonts w:ascii="David" w:hAnsi="David" w:cs="David"/>
          <w:sz w:val="24"/>
          <w:szCs w:val="24"/>
        </w:rPr>
      </w:pPr>
    </w:p>
    <w:p w:rsidR="00872EDC" w:rsidRDefault="006B51FD" w:rsidP="00872EDC">
      <w:pPr>
        <w:pStyle w:val="ad"/>
        <w:numPr>
          <w:ilvl w:val="0"/>
          <w:numId w:val="1"/>
        </w:numPr>
        <w:tabs>
          <w:tab w:val="left" w:pos="1026"/>
        </w:tabs>
        <w:spacing w:line="360" w:lineRule="auto"/>
        <w:jc w:val="both"/>
        <w:rPr>
          <w:rFonts w:ascii="David" w:hAnsi="David" w:cs="David"/>
          <w:sz w:val="24"/>
          <w:szCs w:val="24"/>
        </w:rPr>
      </w:pPr>
      <w:r w:rsidRPr="00872EDC">
        <w:rPr>
          <w:rFonts w:ascii="David" w:hAnsi="David" w:cs="David" w:hint="cs"/>
          <w:sz w:val="24"/>
          <w:szCs w:val="24"/>
          <w:rtl/>
        </w:rPr>
        <w:t xml:space="preserve">אישור ההסכם בלבד, אינו מקנה סמכות נמשכת לבית הדין. </w:t>
      </w:r>
      <w:r w:rsidR="00853DB7">
        <w:rPr>
          <w:rFonts w:ascii="David" w:hAnsi="David" w:cs="David" w:hint="cs"/>
          <w:sz w:val="24"/>
          <w:szCs w:val="24"/>
          <w:rtl/>
        </w:rPr>
        <w:t xml:space="preserve">בעניינינו עולה כי </w:t>
      </w:r>
      <w:r w:rsidRPr="00872EDC">
        <w:rPr>
          <w:rFonts w:ascii="David" w:hAnsi="David" w:cs="David" w:hint="cs"/>
          <w:sz w:val="24"/>
          <w:szCs w:val="24"/>
          <w:rtl/>
        </w:rPr>
        <w:t>לא הוגשו תביעות, לא התקיימו דיונים לבירור טענות הצדדים, התקיים דיון אחד תחת תיק "אישור הסכם גירושין", במהלכו בית הדין בחן תוכן ההסכם, עמד על רצון הצדדים ואומד דעתם בחתימה על ההסכם וכי אכן חתמו והבינו את תוכנו של ההסכם, והכל תוך רצונם החופשי.</w:t>
      </w:r>
    </w:p>
    <w:p w:rsidR="00872EDC" w:rsidRPr="00872EDC" w:rsidRDefault="00872EDC" w:rsidP="00872EDC">
      <w:pPr>
        <w:pStyle w:val="ad"/>
        <w:rPr>
          <w:rFonts w:ascii="David" w:hAnsi="David" w:cs="David"/>
          <w:sz w:val="24"/>
          <w:szCs w:val="24"/>
          <w:rtl/>
        </w:rPr>
      </w:pPr>
    </w:p>
    <w:p w:rsidR="00853DB7" w:rsidRDefault="006B51FD" w:rsidP="000320BE">
      <w:pPr>
        <w:pStyle w:val="ad"/>
        <w:numPr>
          <w:ilvl w:val="0"/>
          <w:numId w:val="1"/>
        </w:numPr>
        <w:tabs>
          <w:tab w:val="left" w:pos="1026"/>
        </w:tabs>
        <w:spacing w:line="360" w:lineRule="auto"/>
        <w:jc w:val="both"/>
        <w:rPr>
          <w:rFonts w:ascii="David" w:hAnsi="David" w:cs="David"/>
          <w:sz w:val="24"/>
          <w:szCs w:val="24"/>
        </w:rPr>
      </w:pPr>
      <w:r w:rsidRPr="00853DB7">
        <w:rPr>
          <w:rFonts w:ascii="David" w:hAnsi="David" w:cs="David" w:hint="cs"/>
          <w:sz w:val="24"/>
          <w:szCs w:val="24"/>
          <w:rtl/>
        </w:rPr>
        <w:t>מעורבותו של בית הדין, כפי שניתן להיווכח מקריאת פרוטוקול הדיון (המתפרש על פני 11 שורות, שכל שורה בין שתי מילים לבין עשר מילים), לא היתה ל</w:t>
      </w:r>
      <w:r w:rsidR="00853DB7" w:rsidRPr="00853DB7">
        <w:rPr>
          <w:rFonts w:ascii="David" w:hAnsi="David" w:cs="David" w:hint="cs"/>
          <w:sz w:val="24"/>
          <w:szCs w:val="24"/>
          <w:rtl/>
        </w:rPr>
        <w:t>שם בחינת טובת הקטינים</w:t>
      </w:r>
      <w:r w:rsidRPr="00853DB7">
        <w:rPr>
          <w:rFonts w:ascii="David" w:hAnsi="David" w:cs="David" w:hint="cs"/>
          <w:sz w:val="24"/>
          <w:szCs w:val="24"/>
          <w:rtl/>
        </w:rPr>
        <w:t xml:space="preserve">, צרכיהם, וכל סוגיה אחרת </w:t>
      </w:r>
      <w:r w:rsidR="00853DB7" w:rsidRPr="00853DB7">
        <w:rPr>
          <w:rFonts w:ascii="David" w:hAnsi="David" w:cs="David" w:hint="cs"/>
          <w:sz w:val="24"/>
          <w:szCs w:val="24"/>
          <w:rtl/>
        </w:rPr>
        <w:t xml:space="preserve">בעניינם, אלא, כאמור, לוודא רצון הצדדים. </w:t>
      </w:r>
    </w:p>
    <w:p w:rsidR="00853DB7" w:rsidRPr="00853DB7" w:rsidRDefault="00853DB7" w:rsidP="00853DB7">
      <w:pPr>
        <w:pStyle w:val="ad"/>
        <w:rPr>
          <w:rFonts w:ascii="David" w:hAnsi="David" w:cs="David"/>
          <w:sz w:val="24"/>
          <w:szCs w:val="24"/>
          <w:rtl/>
        </w:rPr>
      </w:pPr>
    </w:p>
    <w:p w:rsidR="00872EDC" w:rsidRPr="00853DB7" w:rsidRDefault="006B51FD" w:rsidP="000320BE">
      <w:pPr>
        <w:pStyle w:val="ad"/>
        <w:numPr>
          <w:ilvl w:val="0"/>
          <w:numId w:val="1"/>
        </w:numPr>
        <w:tabs>
          <w:tab w:val="left" w:pos="1026"/>
        </w:tabs>
        <w:spacing w:line="360" w:lineRule="auto"/>
        <w:jc w:val="both"/>
        <w:rPr>
          <w:rFonts w:ascii="David" w:hAnsi="David" w:cs="David"/>
          <w:sz w:val="24"/>
          <w:szCs w:val="24"/>
        </w:rPr>
      </w:pPr>
      <w:r w:rsidRPr="00853DB7">
        <w:rPr>
          <w:rFonts w:ascii="David" w:hAnsi="David" w:cs="David" w:hint="cs"/>
          <w:sz w:val="24"/>
          <w:szCs w:val="24"/>
          <w:rtl/>
        </w:rPr>
        <w:t xml:space="preserve">בנוסף, על מנת שלבית הדין תוקנה סמכות נמשכת, יש להראות קיומה של תביעת גירושין כרוכה. בעניינו, לא הוגשה תביעת גירושין וכל הכרוך לה, אלא הוגש אישור הסכם גירושין, </w:t>
      </w:r>
      <w:r w:rsidRPr="00853DB7">
        <w:rPr>
          <w:rFonts w:ascii="David" w:hAnsi="David" w:cs="David" w:hint="cs"/>
          <w:sz w:val="24"/>
          <w:szCs w:val="24"/>
          <w:rtl/>
        </w:rPr>
        <w:lastRenderedPageBreak/>
        <w:t xml:space="preserve">שאמנם כולל בתוכו את  סוגית רכוש, זמני שהות ומזונות, אך לא כתביעה כרוכה (בעניין זה ראה </w:t>
      </w:r>
      <w:r w:rsidRPr="00853DB7">
        <w:rPr>
          <w:rFonts w:ascii="David" w:hAnsi="David" w:cs="David" w:hint="cs"/>
          <w:b/>
          <w:bCs/>
          <w:sz w:val="24"/>
          <w:szCs w:val="24"/>
          <w:rtl/>
        </w:rPr>
        <w:t>סעיף 3 לחוק שיפוט בתי הדין הרבניים (נישואין וגירושין), תשי"ג- 1953</w:t>
      </w:r>
      <w:r w:rsidRPr="00853DB7">
        <w:rPr>
          <w:rFonts w:ascii="David" w:hAnsi="David" w:cs="David" w:hint="cs"/>
          <w:sz w:val="24"/>
          <w:szCs w:val="24"/>
          <w:rtl/>
        </w:rPr>
        <w:t>).</w:t>
      </w:r>
    </w:p>
    <w:p w:rsidR="00872EDC" w:rsidRPr="00872EDC" w:rsidRDefault="00872EDC" w:rsidP="00872EDC">
      <w:pPr>
        <w:pStyle w:val="ad"/>
        <w:rPr>
          <w:rFonts w:ascii="David" w:hAnsi="David" w:cs="David"/>
          <w:sz w:val="24"/>
          <w:szCs w:val="24"/>
          <w:rtl/>
        </w:rPr>
      </w:pPr>
    </w:p>
    <w:p w:rsidR="00853DB7" w:rsidRPr="00853DB7" w:rsidRDefault="006B51FD" w:rsidP="00853DB7">
      <w:pPr>
        <w:pStyle w:val="ad"/>
        <w:numPr>
          <w:ilvl w:val="0"/>
          <w:numId w:val="1"/>
        </w:numPr>
        <w:tabs>
          <w:tab w:val="left" w:pos="1026"/>
        </w:tabs>
        <w:spacing w:line="360" w:lineRule="auto"/>
        <w:jc w:val="both"/>
        <w:rPr>
          <w:rFonts w:ascii="David" w:hAnsi="David" w:cs="David"/>
          <w:sz w:val="24"/>
          <w:szCs w:val="24"/>
          <w:rtl/>
        </w:rPr>
      </w:pPr>
      <w:r w:rsidRPr="00872EDC">
        <w:rPr>
          <w:rFonts w:ascii="David" w:hAnsi="David" w:cs="David" w:hint="cs"/>
          <w:sz w:val="24"/>
          <w:szCs w:val="24"/>
          <w:rtl/>
        </w:rPr>
        <w:t>לאמור אוסיף ואפנה לכך שהתובעת בעצמה הגישה תובענה להעתקת מגורים, כמובא לעיל, לבית משפט זה, כאשר לכאורה, עניין זה, לגרסתה, בסמכותו של בית הדין הרבני ודי בכך, כדי לשמוט הקרקע מטענתה.</w:t>
      </w:r>
    </w:p>
    <w:p w:rsidR="006B51FD" w:rsidRDefault="006B51FD" w:rsidP="006B51FD">
      <w:pPr>
        <w:spacing w:line="360" w:lineRule="auto"/>
        <w:jc w:val="both"/>
        <w:rPr>
          <w:rFonts w:ascii="David" w:hAnsi="David"/>
          <w:rtl/>
        </w:rPr>
      </w:pPr>
      <w:r>
        <w:rPr>
          <w:rFonts w:ascii="David" w:hAnsi="David" w:hint="cs"/>
          <w:rtl/>
        </w:rPr>
        <w:t>מכלל האמור, אני דוחה את טענת הנתבעת לחוסר סמכות עניינית.</w:t>
      </w:r>
    </w:p>
    <w:p w:rsidR="006B51FD" w:rsidRDefault="006B51FD" w:rsidP="006B51FD">
      <w:pPr>
        <w:spacing w:line="360" w:lineRule="auto"/>
        <w:jc w:val="both"/>
        <w:rPr>
          <w:rFonts w:ascii="David" w:hAnsi="David"/>
          <w:rtl/>
        </w:rPr>
      </w:pPr>
      <w:r>
        <w:rPr>
          <w:rFonts w:ascii="David" w:hAnsi="David" w:hint="cs"/>
          <w:rtl/>
        </w:rPr>
        <w:t>הנתבעת תשא בהוצאות הבקשה בסך 2,500 ₪.</w:t>
      </w:r>
    </w:p>
    <w:p w:rsidR="00694556" w:rsidRDefault="00694556">
      <w:pPr>
        <w:spacing w:line="360" w:lineRule="auto"/>
        <w:jc w:val="both"/>
        <w:rPr>
          <w:rFonts w:ascii="Arial" w:hAnsi="Arial"/>
          <w:noProof w:val="0"/>
          <w:rtl/>
        </w:rPr>
      </w:pPr>
    </w:p>
    <w:p w:rsidR="00853DB7" w:rsidRDefault="00853DB7">
      <w:pPr>
        <w:spacing w:line="360" w:lineRule="auto"/>
        <w:jc w:val="both"/>
        <w:rPr>
          <w:rFonts w:ascii="Arial" w:hAnsi="Arial"/>
          <w:b/>
          <w:bCs/>
          <w:noProof w:val="0"/>
          <w:rtl/>
        </w:rPr>
      </w:pPr>
      <w:r>
        <w:rPr>
          <w:rFonts w:ascii="Arial" w:hAnsi="Arial" w:hint="cs"/>
          <w:b/>
          <w:bCs/>
          <w:noProof w:val="0"/>
          <w:rtl/>
        </w:rPr>
        <w:t>מאשרת פרסום ההחלטה כפוף להשמטת כל פרט מזהה ובהתאם לנהלים.</w:t>
      </w:r>
    </w:p>
    <w:p w:rsidR="00853DB7" w:rsidRPr="00853DB7" w:rsidRDefault="00853DB7">
      <w:pPr>
        <w:spacing w:line="360" w:lineRule="auto"/>
        <w:jc w:val="both"/>
        <w:rPr>
          <w:rFonts w:ascii="Arial" w:hAnsi="Arial"/>
          <w:b/>
          <w:bCs/>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א' כסלו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02 דצמבר 2024</w:t>
          </w:r>
        </w:sdtContent>
      </w:sdt>
      <w:r w:rsidR="00005C8B">
        <w:rPr>
          <w:rFonts w:ascii="Arial" w:hAnsi="Arial"/>
          <w:noProof w:val="0"/>
          <w:rtl/>
        </w:rPr>
        <w:t>, בהעדר הצדדים.</w:t>
      </w:r>
    </w:p>
    <w:p w:rsidR="00C43648" w:rsidRDefault="00683DF2"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904989692"/>
        </w:sdtPr>
        <w:sdtEndPr/>
        <w:sdtContent>
          <w:r w:rsidR="00972156">
            <w:drawing>
              <wp:inline distT="0" distB="0" distL="0" distR="0" wp14:editId="50D07946">
                <wp:extent cx="1400175"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400175" cy="8191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10"/>
      <w:footerReference w:type="default" r:id="rId11"/>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3DF2" w:rsidRDefault="00683DF2">
      <w:r>
        <w:separator/>
      </w:r>
    </w:p>
  </w:endnote>
  <w:endnote w:type="continuationSeparator" w:id="0">
    <w:p w:rsidR="00683DF2" w:rsidRDefault="00683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47CA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47CAF">
      <w:rPr>
        <w:rStyle w:val="ab"/>
        <w:rtl/>
      </w:rPr>
      <w:t>4</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3DF2" w:rsidRDefault="00683DF2">
      <w:r>
        <w:separator/>
      </w:r>
    </w:p>
  </w:footnote>
  <w:footnote w:type="continuationSeparator" w:id="0">
    <w:p w:rsidR="00683DF2" w:rsidRDefault="00683D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683DF2" w:rsidP="00D0353B">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14032-11-24</w:t>
              </w:r>
            </w:sdtContent>
          </w:sdt>
          <w:r w:rsidR="00005C8B">
            <w:rPr>
              <w:b/>
              <w:bCs/>
              <w:noProof w:val="0"/>
              <w:sz w:val="26"/>
              <w:szCs w:val="26"/>
              <w:rtl/>
            </w:rPr>
            <w:t xml:space="preserve"> </w:t>
          </w:r>
          <w:sdt>
            <w:sdtPr>
              <w:rPr>
                <w:rtl/>
              </w:rPr>
              <w:alias w:val="1172"/>
              <w:tag w:val="1172"/>
              <w:id w:val="-595170033"/>
              <w:text w:multiLine="1"/>
            </w:sdtPr>
            <w:sdtEndPr/>
            <w:sdtContent>
              <w:r w:rsidR="00064651">
                <w:rPr>
                  <w:b/>
                  <w:bCs/>
                  <w:noProof w:val="0"/>
                  <w:sz w:val="26"/>
                  <w:szCs w:val="26"/>
                  <w:rtl/>
                </w:rPr>
                <w:t>מ</w:t>
              </w:r>
              <w:r w:rsidR="00D0353B">
                <w:rPr>
                  <w:rFonts w:hint="cs"/>
                  <w:b/>
                  <w:bCs/>
                  <w:noProof w:val="0"/>
                  <w:sz w:val="26"/>
                  <w:szCs w:val="26"/>
                  <w:rtl/>
                </w:rPr>
                <w:t>.</w:t>
              </w:r>
              <w:r w:rsidR="00064651">
                <w:rPr>
                  <w:b/>
                  <w:bCs/>
                  <w:noProof w:val="0"/>
                  <w:sz w:val="26"/>
                  <w:szCs w:val="26"/>
                  <w:rtl/>
                </w:rPr>
                <w:t xml:space="preserve"> נ' ב</w:t>
              </w:r>
              <w:r w:rsidR="00D0353B">
                <w:rPr>
                  <w:rFonts w:hint="cs"/>
                  <w:b/>
                  <w:bCs/>
                  <w:noProof w:val="0"/>
                  <w:sz w:val="26"/>
                  <w:szCs w:val="26"/>
                  <w:rtl/>
                </w:rPr>
                <w:t>.</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787323"/>
    <w:multiLevelType w:val="hybridMultilevel"/>
    <w:tmpl w:val="7848DD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229A1"/>
    <w:rsid w:val="000529D2"/>
    <w:rsid w:val="000564AB"/>
    <w:rsid w:val="00064651"/>
    <w:rsid w:val="00064FBD"/>
    <w:rsid w:val="000726DE"/>
    <w:rsid w:val="00082AB2"/>
    <w:rsid w:val="000906FE"/>
    <w:rsid w:val="00096AF7"/>
    <w:rsid w:val="000B0034"/>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31996"/>
    <w:rsid w:val="00234943"/>
    <w:rsid w:val="00271B56"/>
    <w:rsid w:val="0028443A"/>
    <w:rsid w:val="002C344E"/>
    <w:rsid w:val="002C3F4A"/>
    <w:rsid w:val="002E75E9"/>
    <w:rsid w:val="00307A6A"/>
    <w:rsid w:val="00307C40"/>
    <w:rsid w:val="00320433"/>
    <w:rsid w:val="003230C7"/>
    <w:rsid w:val="00327E50"/>
    <w:rsid w:val="0033597A"/>
    <w:rsid w:val="00343D89"/>
    <w:rsid w:val="00362612"/>
    <w:rsid w:val="0036743F"/>
    <w:rsid w:val="003715DD"/>
    <w:rsid w:val="003823E0"/>
    <w:rsid w:val="003A4521"/>
    <w:rsid w:val="003D1C8C"/>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F4F09"/>
    <w:rsid w:val="0061431B"/>
    <w:rsid w:val="00622BAA"/>
    <w:rsid w:val="006306CF"/>
    <w:rsid w:val="00644E9A"/>
    <w:rsid w:val="00671BD5"/>
    <w:rsid w:val="006805C1"/>
    <w:rsid w:val="00683DF2"/>
    <w:rsid w:val="00686C21"/>
    <w:rsid w:val="006931C1"/>
    <w:rsid w:val="00694556"/>
    <w:rsid w:val="006B51FD"/>
    <w:rsid w:val="006C30C5"/>
    <w:rsid w:val="006C4820"/>
    <w:rsid w:val="006D3B31"/>
    <w:rsid w:val="006E0D96"/>
    <w:rsid w:val="006E1A53"/>
    <w:rsid w:val="006F56E6"/>
    <w:rsid w:val="00704EDA"/>
    <w:rsid w:val="00721122"/>
    <w:rsid w:val="00753019"/>
    <w:rsid w:val="00754801"/>
    <w:rsid w:val="00761441"/>
    <w:rsid w:val="00795365"/>
    <w:rsid w:val="007A351D"/>
    <w:rsid w:val="007B7765"/>
    <w:rsid w:val="007C58E2"/>
    <w:rsid w:val="007C5BDD"/>
    <w:rsid w:val="007D45E3"/>
    <w:rsid w:val="007E6115"/>
    <w:rsid w:val="007F4609"/>
    <w:rsid w:val="00814468"/>
    <w:rsid w:val="008176A1"/>
    <w:rsid w:val="00820005"/>
    <w:rsid w:val="00844318"/>
    <w:rsid w:val="00847CAF"/>
    <w:rsid w:val="00853DB7"/>
    <w:rsid w:val="0086061C"/>
    <w:rsid w:val="00863F5D"/>
    <w:rsid w:val="00870890"/>
    <w:rsid w:val="00872EDC"/>
    <w:rsid w:val="00873602"/>
    <w:rsid w:val="00875D12"/>
    <w:rsid w:val="00881CCE"/>
    <w:rsid w:val="0088479D"/>
    <w:rsid w:val="00895CB0"/>
    <w:rsid w:val="00896889"/>
    <w:rsid w:val="00897DAF"/>
    <w:rsid w:val="008C5714"/>
    <w:rsid w:val="008D10B2"/>
    <w:rsid w:val="00903896"/>
    <w:rsid w:val="00906F3D"/>
    <w:rsid w:val="0094424E"/>
    <w:rsid w:val="00955642"/>
    <w:rsid w:val="009622DF"/>
    <w:rsid w:val="0096493F"/>
    <w:rsid w:val="00967DFF"/>
    <w:rsid w:val="00972156"/>
    <w:rsid w:val="00994341"/>
    <w:rsid w:val="00996935"/>
    <w:rsid w:val="009D1A48"/>
    <w:rsid w:val="009E1CE7"/>
    <w:rsid w:val="009E4EA5"/>
    <w:rsid w:val="009F164B"/>
    <w:rsid w:val="009F323C"/>
    <w:rsid w:val="00A3392B"/>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5356E"/>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608F"/>
    <w:rsid w:val="00CF6BB7"/>
    <w:rsid w:val="00D0353B"/>
    <w:rsid w:val="00D04AA4"/>
    <w:rsid w:val="00D27982"/>
    <w:rsid w:val="00D33B86"/>
    <w:rsid w:val="00D44968"/>
    <w:rsid w:val="00D53924"/>
    <w:rsid w:val="00D55D0C"/>
    <w:rsid w:val="00D764E5"/>
    <w:rsid w:val="00D96D8C"/>
    <w:rsid w:val="00DA6649"/>
    <w:rsid w:val="00DC1259"/>
    <w:rsid w:val="00DC1BD2"/>
    <w:rsid w:val="00DC2571"/>
    <w:rsid w:val="00DC487C"/>
    <w:rsid w:val="00DE1E7D"/>
    <w:rsid w:val="00DE6BF6"/>
    <w:rsid w:val="00E04E84"/>
    <w:rsid w:val="00E1068A"/>
    <w:rsid w:val="00E25884"/>
    <w:rsid w:val="00E25B55"/>
    <w:rsid w:val="00E31C2B"/>
    <w:rsid w:val="00E37EF9"/>
    <w:rsid w:val="00E5426A"/>
    <w:rsid w:val="00E54642"/>
    <w:rsid w:val="00E54CD9"/>
    <w:rsid w:val="00E80CBE"/>
    <w:rsid w:val="00E85BE3"/>
    <w:rsid w:val="00E962E3"/>
    <w:rsid w:val="00EB6C79"/>
    <w:rsid w:val="00EC37E9"/>
    <w:rsid w:val="00F038D8"/>
    <w:rsid w:val="00F06995"/>
    <w:rsid w:val="00F13623"/>
    <w:rsid w:val="00F44D1D"/>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6B51FD"/>
    <w:pPr>
      <w:spacing w:after="160" w:line="259"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B02C00" w:rsidP="00B02C00">
          <w:pPr>
            <w:pStyle w:val="E460D38E05664FF79D4EFF282EF8EC9926"/>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17097A"/>
    <w:rsid w:val="002A56A9"/>
    <w:rsid w:val="002D02C4"/>
    <w:rsid w:val="00345C9D"/>
    <w:rsid w:val="00405FEA"/>
    <w:rsid w:val="004745AE"/>
    <w:rsid w:val="0048651F"/>
    <w:rsid w:val="005157ED"/>
    <w:rsid w:val="00556D67"/>
    <w:rsid w:val="00746837"/>
    <w:rsid w:val="00793995"/>
    <w:rsid w:val="007C6F98"/>
    <w:rsid w:val="007E254A"/>
    <w:rsid w:val="0086433F"/>
    <w:rsid w:val="008B4366"/>
    <w:rsid w:val="009133C7"/>
    <w:rsid w:val="009178E4"/>
    <w:rsid w:val="00961B27"/>
    <w:rsid w:val="00990020"/>
    <w:rsid w:val="00AA7CE3"/>
    <w:rsid w:val="00B02C00"/>
    <w:rsid w:val="00B42D7E"/>
    <w:rsid w:val="00B45677"/>
    <w:rsid w:val="00B91FA3"/>
    <w:rsid w:val="00B92FD2"/>
    <w:rsid w:val="00BE02BF"/>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02C00"/>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815</Words>
  <Characters>4080</Characters>
  <Application>Microsoft Office Word</Application>
  <DocSecurity>0</DocSecurity>
  <Lines>34</Lines>
  <Paragraphs>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2024-12-29T06:03:00Z</dcterms:created>
  <dcterms:modified xsi:type="dcterms:W3CDTF">2024-12-29T06:03:00Z</dcterms:modified>
</cp:coreProperties>
</file>